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15" w:rsidRDefault="00210515">
      <w:pPr>
        <w:jc w:val="center"/>
        <w:rPr>
          <w:rFonts w:ascii="XO Thames" w:eastAsia="XO Thames" w:hAnsi="XO Thames" w:cs="XO Thames"/>
          <w:b/>
          <w:sz w:val="26"/>
          <w:szCs w:val="26"/>
        </w:rPr>
      </w:pPr>
    </w:p>
    <w:p w:rsidR="005C4312" w:rsidRDefault="007C63EF">
      <w:pPr>
        <w:jc w:val="center"/>
        <w:rPr>
          <w:rFonts w:ascii="XO Thames" w:hAnsi="XO Thames" w:cs="XO Thames"/>
          <w:b/>
          <w:sz w:val="26"/>
          <w:szCs w:val="26"/>
        </w:rPr>
      </w:pPr>
      <w:bookmarkStart w:id="0" w:name="_GoBack"/>
      <w:bookmarkEnd w:id="0"/>
      <w:r>
        <w:rPr>
          <w:rFonts w:ascii="XO Thames" w:eastAsia="XO Thames" w:hAnsi="XO Thames" w:cs="XO Thames"/>
          <w:b/>
          <w:sz w:val="26"/>
          <w:szCs w:val="26"/>
        </w:rPr>
        <w:t>Работодателям Челябинской области</w:t>
      </w:r>
    </w:p>
    <w:p w:rsidR="005C4312" w:rsidRDefault="005C4312">
      <w:pPr>
        <w:spacing w:after="0" w:line="240" w:lineRule="auto"/>
        <w:jc w:val="center"/>
        <w:rPr>
          <w:rFonts w:ascii="XO Thames" w:hAnsi="XO Thames" w:cs="XO Thames"/>
          <w:sz w:val="26"/>
          <w:szCs w:val="26"/>
        </w:rPr>
      </w:pPr>
    </w:p>
    <w:p w:rsidR="005C4312" w:rsidRDefault="007C63EF">
      <w:pPr>
        <w:tabs>
          <w:tab w:val="left" w:pos="993"/>
        </w:tabs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Главное управление по труду и занятости населения Челябинской области объявляет о проведении в 2025 году регионального этапа всероссийского конкурса профессионального мастерства «Лучший по профессии» в «Спецноминации для переобучившихся» (Второй старт) (далее – Конкурс) для переобучившихся по программам переподготовки в целях получения новой рабочей профессии. Конкурс организован для повышения престижа рабочих профессий, а также содействия и популяризации программ по переобучению по востребованным на рынке труда профессиям и специальностям.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Конкурс проводится в два этапа: </w:t>
      </w:r>
      <w:r>
        <w:rPr>
          <w:rFonts w:ascii="XO Thames" w:eastAsia="XO Thames" w:hAnsi="XO Thames" w:cs="XO Thames"/>
          <w:b/>
          <w:sz w:val="26"/>
          <w:szCs w:val="26"/>
          <w:lang w:eastAsia="ru-RU"/>
        </w:rPr>
        <w:t>региональный и федеральный</w:t>
      </w:r>
      <w:r>
        <w:rPr>
          <w:rFonts w:ascii="XO Thames" w:eastAsia="XO Thames" w:hAnsi="XO Thames" w:cs="XO Thames"/>
          <w:sz w:val="26"/>
          <w:szCs w:val="26"/>
          <w:lang w:eastAsia="ru-RU"/>
        </w:rPr>
        <w:t>. Требования к квалификации для участия в Конкурсе: наличие профессиональной переподготовки по рабочей профессии в рамках федерального проекта «Содействие занятости» национального проекта «Демография» или других программ дополнительного профессионального образования по рабочим профессиям. Опыт работы по полученной специальности не менее 1 года в организациях, осуществляющих свою деятельность по основному виду в соответствии со следующим ОКВЭД: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A. Сельское, лесное хозяйство, охота, рыболовство и рыбоводство.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B. Добыча полезных ископаемых.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C. Обрабатывающие производства.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D. Обеспечение электрической энергией, газом и паром;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кондиционирование воздуха.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E. Водоснабжение; водоотведение, организация сбора и утилизации отходов, деятельность по ликвидации загрязнений.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F. Строительство.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G. Торговля оптовая и розничная; ремонт автотранспортных средств и мотоциклов.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H. Транспортировка и хранение.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I. Деятельность гостиниц и предприятий общественного питания.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J. Деятельность в области информации и связи.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K. Деятельность финансовая и страховая.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L. Деятельность по операциям с недвижимым имуществом.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M. Деятельность профессиональная, научная и техническая.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N. Деятельность административная и сопутствующие дополнительные услуги.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O. Государственное управление и обеспечение военной безопасности; социальное обеспечение.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P. Образование.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Q. Деятельность в области здравоохранения и социальных услуг.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Раздел R. Деятельность в области культуры, спорта, организации досуга и развлечений.</w:t>
      </w:r>
    </w:p>
    <w:p w:rsidR="005C4312" w:rsidRDefault="007C63EF">
      <w:pPr>
        <w:spacing w:after="0" w:line="240" w:lineRule="auto"/>
        <w:ind w:firstLine="72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Участие в региональном и федеральном этапах является бесплатным.</w:t>
      </w:r>
    </w:p>
    <w:p w:rsidR="005C4312" w:rsidRDefault="005C4312">
      <w:pPr>
        <w:spacing w:after="0" w:line="240" w:lineRule="auto"/>
        <w:ind w:firstLine="720"/>
        <w:jc w:val="both"/>
        <w:rPr>
          <w:rFonts w:ascii="XO Thames" w:hAnsi="XO Thames" w:cs="XO Thames"/>
          <w:sz w:val="26"/>
          <w:szCs w:val="26"/>
        </w:rPr>
      </w:pPr>
    </w:p>
    <w:p w:rsidR="005C4312" w:rsidRDefault="007C63EF">
      <w:pPr>
        <w:spacing w:after="0" w:line="240" w:lineRule="auto"/>
        <w:ind w:firstLine="72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Конкурсные задания регионального этапа состоят из трех модулей.</w:t>
      </w:r>
    </w:p>
    <w:p w:rsidR="005C4312" w:rsidRDefault="007C63EF">
      <w:pPr>
        <w:spacing w:after="0" w:line="240" w:lineRule="auto"/>
        <w:ind w:firstLine="720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  <w:lang w:eastAsia="ru-RU"/>
        </w:rPr>
        <w:t>Модуль 1. Презентация профессионального пути</w:t>
      </w:r>
    </w:p>
    <w:p w:rsidR="005C4312" w:rsidRDefault="005C4312">
      <w:pPr>
        <w:spacing w:after="0" w:line="240" w:lineRule="auto"/>
        <w:ind w:firstLine="720"/>
        <w:jc w:val="both"/>
        <w:rPr>
          <w:rFonts w:ascii="XO Thames" w:hAnsi="XO Thames" w:cs="XO Thames"/>
          <w:b/>
          <w:bCs/>
          <w:sz w:val="26"/>
          <w:szCs w:val="26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745"/>
        <w:gridCol w:w="2894"/>
        <w:gridCol w:w="2720"/>
        <w:gridCol w:w="1211"/>
      </w:tblGrid>
      <w:tr w:rsidR="005C4312">
        <w:tc>
          <w:tcPr>
            <w:tcW w:w="2802" w:type="dxa"/>
          </w:tcPr>
          <w:p w:rsidR="005C4312" w:rsidRDefault="007C63EF">
            <w:pPr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</w:rPr>
              <w:t>Наименование модуля</w:t>
            </w:r>
          </w:p>
        </w:tc>
        <w:tc>
          <w:tcPr>
            <w:tcW w:w="2976" w:type="dxa"/>
          </w:tcPr>
          <w:p w:rsidR="005C4312" w:rsidRDefault="007C63EF">
            <w:pPr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</w:rPr>
              <w:t>Краткое описание</w:t>
            </w:r>
          </w:p>
        </w:tc>
        <w:tc>
          <w:tcPr>
            <w:tcW w:w="2552" w:type="dxa"/>
          </w:tcPr>
          <w:p w:rsidR="005C4312" w:rsidRDefault="007C63EF">
            <w:pPr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</w:rPr>
              <w:t>Механика выполнения</w:t>
            </w:r>
          </w:p>
        </w:tc>
        <w:tc>
          <w:tcPr>
            <w:tcW w:w="1240" w:type="dxa"/>
          </w:tcPr>
          <w:p w:rsidR="005C4312" w:rsidRDefault="007C63EF">
            <w:pPr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</w:rPr>
              <w:t>Кол-во баллов</w:t>
            </w:r>
          </w:p>
        </w:tc>
      </w:tr>
      <w:tr w:rsidR="005C4312">
        <w:tc>
          <w:tcPr>
            <w:tcW w:w="2802" w:type="dxa"/>
          </w:tcPr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 xml:space="preserve">Презентация </w:t>
            </w: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>профессионального пути</w:t>
            </w:r>
          </w:p>
        </w:tc>
        <w:tc>
          <w:tcPr>
            <w:tcW w:w="2976" w:type="dxa"/>
          </w:tcPr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 xml:space="preserve">Презентация </w:t>
            </w: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>профессионального пути выполняется по 4 блокам: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Первый блок - «Как рискнул и сменил профессию»,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Второй блок - «Мой первый рабочий день в новой профессии»,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Третий блок- «Мои наставники»,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Четвертый блок - «Моя первая победа»</w:t>
            </w:r>
          </w:p>
          <w:p w:rsidR="005C4312" w:rsidRDefault="005C4312">
            <w:pPr>
              <w:rPr>
                <w:rFonts w:ascii="XO Thames" w:hAnsi="XO Thames" w:cs="XO Thames"/>
                <w:sz w:val="26"/>
                <w:szCs w:val="26"/>
              </w:rPr>
            </w:pP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Каждый этап представляет собой короткий рассказ о становлении в новой профессии.</w:t>
            </w:r>
          </w:p>
          <w:p w:rsidR="005C4312" w:rsidRDefault="005C4312">
            <w:pPr>
              <w:rPr>
                <w:rFonts w:ascii="XO Thames" w:hAnsi="XO Thames" w:cs="XO Thames"/>
                <w:sz w:val="26"/>
                <w:szCs w:val="26"/>
              </w:rPr>
            </w:pPr>
          </w:p>
        </w:tc>
        <w:tc>
          <w:tcPr>
            <w:tcW w:w="2552" w:type="dxa"/>
          </w:tcPr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 xml:space="preserve">Рассказ о становлении </w:t>
            </w: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>в профессии может быть реализован в формате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выступления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на профессиональном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празднике, на встрече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с новыми сотрудниками предприятия, на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профориентационной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встрече, в ходе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профориентационного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тура, на встрече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с обучающимися по этой профессии или с теми, кто выбирает профессию сейчас, а также в формате рассказа или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видео-обращения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на личной странице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 социальных сетях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(разрешенных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 Российской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Федерации).</w:t>
            </w:r>
          </w:p>
          <w:p w:rsidR="005C4312" w:rsidRDefault="005C4312">
            <w:pPr>
              <w:rPr>
                <w:rFonts w:ascii="XO Thames" w:hAnsi="XO Thames" w:cs="XO Thames"/>
                <w:sz w:val="26"/>
                <w:szCs w:val="26"/>
              </w:rPr>
            </w:pP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Верификацией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проведения встречи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может быть пост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на личной странице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участника, на странице предприятия или организации, в том числе на базе которой проходила встреча, или региональной службы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занятости, публикация в СМИ (разрешенных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 Российской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Федерации), в том числе – в корпоративном СМИ (разрешенных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 Российской</w:t>
            </w:r>
          </w:p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Федерации).</w:t>
            </w:r>
          </w:p>
        </w:tc>
        <w:tc>
          <w:tcPr>
            <w:tcW w:w="1240" w:type="dxa"/>
          </w:tcPr>
          <w:p w:rsidR="005C4312" w:rsidRDefault="007C63EF">
            <w:pPr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>До 200</w:t>
            </w:r>
          </w:p>
        </w:tc>
      </w:tr>
    </w:tbl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lastRenderedPageBreak/>
        <w:t>Модуль 1 выполняется конкурсантом в течение 12-ти календарных дней с даты начала регионального этапа.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Ссылки на материалы о проведенных мероприятиях загружаются на информационный ресурс в течение 5-ти рабочих дней со дня проведения </w:t>
      </w:r>
      <w:r>
        <w:rPr>
          <w:rFonts w:ascii="XO Thames" w:eastAsia="XO Thames" w:hAnsi="XO Thames" w:cs="XO Thames"/>
          <w:sz w:val="26"/>
          <w:szCs w:val="26"/>
          <w:lang w:eastAsia="ru-RU"/>
        </w:rPr>
        <w:lastRenderedPageBreak/>
        <w:t>соответствующего мероприятия, но не позднее срока окончания проведения Модуля 1.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После загрузки ссылок на информационный ресурс региональная экспертная комиссия оценивает и выставляет баллы в соответствии с прилагаемыми критериями, не позднее даты завершения регионального этапа.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Указанные сроки могут быть скорректированы в случае наличия особых обстоятельств.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  <w:lang w:eastAsia="ru-RU"/>
        </w:rPr>
        <w:t>Модуль 2. Теоретическая часть.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Теоретическая часть Конкурса включает в себя выполнение тестовых заданий (20 вопросов) по охране труда.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Тестирование проводится очно и одновременно со всеми конкурсантами.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Время для прохождения тестирования – не более 30 минут.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  <w:lang w:eastAsia="ru-RU"/>
        </w:rPr>
        <w:t>Модуль 3. Кейс-задание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Мастер-класс «Я – Мастер».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Участник Конкурса записывает видео, в котором обучает одному из ключевых навыков своей профессии.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Видеоролик должен быть практико-ориентированным, содержать пояснения выполняемых действий. Допускается запись видео частями. При отсутствии ограничений видео может быть записано с рабочего места. В видео допускается участие третьих лиц. Монтаж видео допускается, но не является обязательным условием.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Ссылка на видеоролик (размещенный на разрешенных в Российской Федерации информационных платформах) загружается конкурсантом на информационный ресурс не позднее 14 календарных дней до даты завершения регионального этапа.</w:t>
      </w: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Критерии оценивания конкурсных заданий регионального этапа</w:t>
      </w: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6520"/>
        <w:gridCol w:w="2233"/>
      </w:tblGrid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Наименование задания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Диапазон баллов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>МОДУЛЬ 1.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>Презентация профессионального пути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200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(по 50 баллов за каждый блок)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Содержательно раскрыты темы презентации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20 баллов (по каждому блоку)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Есть фото-видео материалы презентации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10 баллов (по каждому блоку)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В рассказе раскрыты особенности новой профессии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10 баллов (по каждому блоку)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Презентация поддержана работодателем и размещена на корпоративной странице (сайте), на сайте профсоюза или на странице руководителя, наставника, коллеги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10 баллов (по каждому блоку)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>МОДУЛЬ 2.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>Теоретическая часть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40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Тестовое задание (2 балла за каждый правильный ответ)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40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>Модуль 3. Кейс-задание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>Мастер-класс «Я-Мастер»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260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Соответствие сюжета видеоролика заявленной теме задания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30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Практическая значимость и применимость представленного материала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40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Логичность, структурированность представляемого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материала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20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Материал укладывается в хронометраж менее 20 минут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20</w:t>
            </w:r>
          </w:p>
        </w:tc>
      </w:tr>
      <w:tr w:rsidR="005C4312">
        <w:trPr>
          <w:trHeight w:val="328"/>
        </w:trPr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Уровень профессиональных навыков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130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Подтвержденный факт вовлечения работодателя в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подготовку ролика: подтвержденным фактом считается участие коллектива предприятия, съемки на рабочем месте, использование ролика в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качестве рекомендованного материала при подготовке и/или найме новых сотрудников, размещение ролика в социальных сетях (разрешенных в Российской Федерации) на странице предприятия, профсоюзной организации предприятия или на иных площадках</w:t>
            </w:r>
          </w:p>
        </w:tc>
        <w:tc>
          <w:tcPr>
            <w:tcW w:w="223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До 20</w:t>
            </w:r>
          </w:p>
        </w:tc>
      </w:tr>
      <w:tr w:rsidR="005C4312">
        <w:tc>
          <w:tcPr>
            <w:tcW w:w="81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6520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Видеоролик превышает 40 минут: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от 1 до 5 минут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от 6 до 10 минут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от 11 до 15 минут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от 16 и более минут</w:t>
            </w:r>
          </w:p>
        </w:tc>
        <w:tc>
          <w:tcPr>
            <w:tcW w:w="2233" w:type="dxa"/>
          </w:tcPr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-5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-10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-25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  <w:lang w:eastAsia="ru-RU"/>
              </w:rPr>
              <w:t>-50</w:t>
            </w:r>
          </w:p>
        </w:tc>
      </w:tr>
      <w:tr w:rsidR="005C4312">
        <w:tc>
          <w:tcPr>
            <w:tcW w:w="816" w:type="dxa"/>
          </w:tcPr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</w:tc>
        <w:tc>
          <w:tcPr>
            <w:tcW w:w="6520" w:type="dxa"/>
          </w:tcPr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</w:tc>
        <w:tc>
          <w:tcPr>
            <w:tcW w:w="2233" w:type="dxa"/>
          </w:tcPr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</w:tc>
      </w:tr>
      <w:tr w:rsidR="005C4312">
        <w:trPr>
          <w:trHeight w:val="322"/>
        </w:trPr>
        <w:tc>
          <w:tcPr>
            <w:tcW w:w="816" w:type="dxa"/>
            <w:vMerge w:val="restart"/>
          </w:tcPr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</w:tc>
        <w:tc>
          <w:tcPr>
            <w:tcW w:w="6520" w:type="dxa"/>
            <w:vMerge w:val="restart"/>
          </w:tcPr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                ИТОГО</w:t>
            </w:r>
          </w:p>
        </w:tc>
        <w:tc>
          <w:tcPr>
            <w:tcW w:w="2233" w:type="dxa"/>
            <w:vMerge w:val="restart"/>
          </w:tcPr>
          <w:p w:rsidR="005C4312" w:rsidRDefault="007C63EF">
            <w:pPr>
              <w:jc w:val="both"/>
              <w:rPr>
                <w:rFonts w:ascii="XO Thames" w:hAnsi="XO Thames" w:cs="XO Thames"/>
                <w:b/>
                <w:bCs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b/>
                <w:bCs/>
                <w:sz w:val="26"/>
                <w:szCs w:val="26"/>
                <w:lang w:eastAsia="ru-RU"/>
              </w:rPr>
              <w:t>До 500</w:t>
            </w:r>
          </w:p>
        </w:tc>
      </w:tr>
    </w:tbl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Победители регионального этапа будут номинированы для участия на федеральном уровне.</w:t>
      </w: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</w:rPr>
        <w:t>Федеральный этап Конкурса</w:t>
      </w: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Конкурсные задания федерального этапа состоят из трех модулей.</w:t>
      </w: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</w:rPr>
        <w:t>Модуль 1. Презентация новой профессии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268"/>
        <w:gridCol w:w="3827"/>
        <w:gridCol w:w="1383"/>
      </w:tblGrid>
      <w:tr w:rsidR="005C4312">
        <w:trPr>
          <w:trHeight w:val="261"/>
        </w:trPr>
        <w:tc>
          <w:tcPr>
            <w:tcW w:w="2092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Наименование модуля</w:t>
            </w:r>
          </w:p>
        </w:tc>
        <w:tc>
          <w:tcPr>
            <w:tcW w:w="2268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Краткое описание</w:t>
            </w:r>
          </w:p>
        </w:tc>
        <w:tc>
          <w:tcPr>
            <w:tcW w:w="3827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Механика выполнения</w:t>
            </w:r>
          </w:p>
        </w:tc>
        <w:tc>
          <w:tcPr>
            <w:tcW w:w="138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Количество баллов</w:t>
            </w:r>
          </w:p>
        </w:tc>
      </w:tr>
      <w:tr w:rsidR="005C4312">
        <w:tc>
          <w:tcPr>
            <w:tcW w:w="2092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Презентация новой профессии</w:t>
            </w:r>
          </w:p>
        </w:tc>
        <w:tc>
          <w:tcPr>
            <w:tcW w:w="2268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Презентация новой профессии: «5 плюсов и возможностей моей новой работы»</w:t>
            </w:r>
          </w:p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Задача-раскрыть преимущества полученной рабочей профессии, ее специфику доступной для широкой аудитории форме</w:t>
            </w:r>
          </w:p>
        </w:tc>
        <w:tc>
          <w:tcPr>
            <w:tcW w:w="3827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Презентация может быть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проведена в формате мастер-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класса, лекции, поста в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социальных сетях (разрешенных в Российской Федерации) или публикации материала для СМИ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(разрешенных в Российской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Федерации).</w:t>
            </w:r>
          </w:p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Верификацией проведения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встречи может быть пост на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личной странице участника, на странице предприятия или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 xml:space="preserve">организации, в том числе на базе которой проходила встреча, или региональной службы занятости, публикация </w:t>
            </w: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 xml:space="preserve">в СМИ (разрешенных в Российской Федерации), в том числе – в корпоративном СМИ 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(разрешенных в Российской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Федерации).</w:t>
            </w:r>
          </w:p>
        </w:tc>
        <w:tc>
          <w:tcPr>
            <w:tcW w:w="1383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lastRenderedPageBreak/>
              <w:t>До 50</w:t>
            </w:r>
          </w:p>
        </w:tc>
      </w:tr>
    </w:tbl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</w:rPr>
        <w:t>Модуль 2. Теоретическая часть.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 xml:space="preserve">Теоретическая часть Конкурса включает в себя выполнение тестовых заданий (20 тестовых вопросов) по охране труда и трудовым правам работников. 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</w:rPr>
        <w:t>Кейс-задание Видео-визитка «Знакомство с профессией».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Видео-визитка «Знакомство с профессией»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Предполагает подготовку регионом, направляющим финалиста на федеральный этап, видеоролика, демонстрирующего профессиональные качества, навыки и умения участника Конкурса, с возможностью визуальной демонстрации профессиональных достижений на рабочем месте, особенностей и преимуществ новой профессии.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Органы службы занятости населения субъекта Российской Федерации оказывают содействие при подготовке видеоролика конкурсанта – победителя регионального этапа.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Видеоролик должен быть ясным, кратким, с использованием конкретных примеров и подробным описанием достижений по вновь полученной рабочей профессии.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Структура видеоролика: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1. Краткая информация о себе.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2. История карьерной траектории (трудовой путь).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3. Мотивы выбора новой рабочей профессии.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4. Преимущества новой профессии.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Продолжительность видеоролика – не более 15 минут.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Ссылка на видеоролик (размещенный на разрешенных в Российской Федерации информационных платформах) конкурсантом загружается на информационный ресурс в период с 18.08.2025 по 08.09.2025.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Федеральная экспертная комиссия в данном модуле может дополнительно привлекать экспертов – представителей сферы деятельности конкурсанта – для оценки его профессиональных знаний и навыков, демонстрируемых в видеоролике.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В срок до 12.09.2025 федеральная экспертная комиссия проводит оценку соответствия сюжета видеоролика конкурсанта заявленной теме задания и формирует заключение о соблюдении базовых профессиональных требований, требований охраны труда и иных обязательных требований в зависимости от профессии.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В период с 16.09.2025 (начало голосования в 00:01 по мск) по 30.09.2025 (завершение голосования в 20:00 по мск) на общедоступном информационном ресурсе будет обеспечено «народное голосование» за видеоролики конкурсантов федерального этапа и по итогам голосования начислены баллы в зависимости от процента проголосовавших за каждый ролик: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50 баллов – от 1,0% до 5,0% от всех голосов,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75 баллов – от 5,1% до 7,0% голосов,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100 баллов – участнику, находящемуся на третьем месте по количеству голосов;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150 баллов – участнику, находящемуся на втором месте по количеству голосов;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200 баллов – участнику, набравшему наибольшее количество голосов.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lastRenderedPageBreak/>
        <w:t>В случае если доля голосов за участника, находящегося на первом, втором и/или третьем месте по количеству голосов, составляет менее 7,0%, участнику начисляется 200, 150 или 100 баллов соответственно.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Указанные сроки могут быть скорректированы в случае наличия особых обстоятельств.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</w:rPr>
        <w:t>Модуль 3. «Урок профессий» (практическое задание)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2109"/>
        <w:gridCol w:w="3402"/>
        <w:gridCol w:w="1666"/>
      </w:tblGrid>
      <w:tr w:rsidR="005C4312">
        <w:tc>
          <w:tcPr>
            <w:tcW w:w="2392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Наименование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модуля</w:t>
            </w:r>
          </w:p>
          <w:p w:rsidR="005C4312" w:rsidRDefault="005C4312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</w:p>
        </w:tc>
        <w:tc>
          <w:tcPr>
            <w:tcW w:w="2109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Время прохождения</w:t>
            </w:r>
          </w:p>
        </w:tc>
        <w:tc>
          <w:tcPr>
            <w:tcW w:w="3402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Краткое описание</w:t>
            </w:r>
          </w:p>
        </w:tc>
        <w:tc>
          <w:tcPr>
            <w:tcW w:w="166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Количество баллов</w:t>
            </w:r>
          </w:p>
        </w:tc>
      </w:tr>
      <w:tr w:rsidR="005C4312">
        <w:tc>
          <w:tcPr>
            <w:tcW w:w="2392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Урок профессии</w:t>
            </w:r>
          </w:p>
        </w:tc>
        <w:tc>
          <w:tcPr>
            <w:tcW w:w="2109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На проведение урока- не более 10-ти минут, на вопросы экспертов или участников урока профессий –не более 5-ти минут</w:t>
            </w:r>
          </w:p>
        </w:tc>
        <w:tc>
          <w:tcPr>
            <w:tcW w:w="3402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Формируются группы из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участников Конкурса по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5-10 человек по различным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профессиям (группы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определяются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непосредственно перед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федеральным этапом на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основании списка победителей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региональных этапов).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Группы выступают перед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школьниками 9 – 11 классов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(будет предусмотрена онлайн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трансляция и возможность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выставления баллов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дистанционно) и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представителями федеральной</w:t>
            </w:r>
          </w:p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экспертной комиссии.</w:t>
            </w:r>
          </w:p>
        </w:tc>
        <w:tc>
          <w:tcPr>
            <w:tcW w:w="1666" w:type="dxa"/>
          </w:tcPr>
          <w:p w:rsidR="005C4312" w:rsidRDefault="007C63EF">
            <w:pPr>
              <w:jc w:val="both"/>
              <w:rPr>
                <w:rFonts w:ascii="XO Thames" w:hAnsi="XO Thames" w:cs="XO Thames"/>
                <w:sz w:val="26"/>
                <w:szCs w:val="26"/>
              </w:rPr>
            </w:pPr>
            <w:r>
              <w:rPr>
                <w:rFonts w:ascii="XO Thames" w:eastAsia="XO Thames" w:hAnsi="XO Thames" w:cs="XO Thames"/>
                <w:sz w:val="26"/>
                <w:szCs w:val="26"/>
              </w:rPr>
              <w:t>До 200</w:t>
            </w:r>
          </w:p>
        </w:tc>
      </w:tr>
    </w:tbl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Урок профессий проводится с целью популяризации рабочих профессий среди школьников, стоящих перед выбором своей будущей профессии.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Данное мероприятие будет способствовать знакомству с тонкостями и</w:t>
      </w:r>
    </w:p>
    <w:p w:rsidR="005C4312" w:rsidRDefault="007C63EF">
      <w:pPr>
        <w:spacing w:after="0" w:line="240" w:lineRule="auto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</w:rPr>
        <w:t>содержанием практического применения полученных профессиональных знаний, что повысит уровень практико-ориентированности проводимого урока и заинтересованности школьников в выборе рабочей профессии с целью обеспеченности высокой кадровой потребности работодателей Российской Федерации.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Прием заявок на участие в региональном этапе Конкурса осуществляется до </w:t>
      </w:r>
      <w:r>
        <w:rPr>
          <w:rFonts w:ascii="XO Thames" w:eastAsia="XO Thames" w:hAnsi="XO Thames" w:cs="XO Thames"/>
          <w:b/>
          <w:sz w:val="26"/>
          <w:szCs w:val="26"/>
          <w:lang w:eastAsia="ru-RU"/>
        </w:rPr>
        <w:t xml:space="preserve"> 15 июня 2025 года</w:t>
      </w:r>
      <w:r>
        <w:rPr>
          <w:rFonts w:ascii="XO Thames" w:eastAsia="XO Thames" w:hAnsi="XO Thames" w:cs="XO Thames"/>
          <w:sz w:val="26"/>
          <w:szCs w:val="26"/>
          <w:lang w:eastAsia="ru-RU"/>
        </w:rPr>
        <w:t>.</w:t>
      </w: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 По вопросам проведения Конкурса обращаться в Главное управление по труду и занятости населения Челябинской области (</w:t>
      </w:r>
      <w:r>
        <w:rPr>
          <w:rFonts w:ascii="XO Thames" w:eastAsia="XO Thames" w:hAnsi="XO Thames" w:cs="XO Thames"/>
          <w:b/>
          <w:sz w:val="26"/>
          <w:szCs w:val="26"/>
          <w:lang w:eastAsia="ru-RU"/>
        </w:rPr>
        <w:t>г. Челябинск, ул. Комсомольская, 18 а</w:t>
      </w: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), отдел регулирования трудовых отношений и развития социального партнерства, </w:t>
      </w:r>
      <w:r>
        <w:rPr>
          <w:rFonts w:ascii="XO Thames" w:eastAsia="XO Thames" w:hAnsi="XO Thames" w:cs="XO Thames"/>
          <w:b/>
          <w:sz w:val="26"/>
          <w:szCs w:val="26"/>
          <w:lang w:eastAsia="ru-RU"/>
        </w:rPr>
        <w:t>кабинет 102, контактные лица Афиногенова Ирина Аркадьевна, Замятина Ольга Маратовна телефон: (351) 237-08-92,  е-</w:t>
      </w:r>
      <w:r>
        <w:rPr>
          <w:rFonts w:ascii="XO Thames" w:eastAsia="XO Thames" w:hAnsi="XO Thames" w:cs="XO Thames"/>
          <w:b/>
          <w:sz w:val="26"/>
          <w:szCs w:val="26"/>
          <w:lang w:val="en-US" w:eastAsia="ru-RU"/>
        </w:rPr>
        <w:t>mail</w:t>
      </w:r>
      <w:r>
        <w:rPr>
          <w:rFonts w:ascii="XO Thames" w:eastAsia="XO Thames" w:hAnsi="XO Thames" w:cs="XO Thames"/>
          <w:b/>
          <w:sz w:val="26"/>
          <w:szCs w:val="26"/>
          <w:lang w:eastAsia="ru-RU"/>
        </w:rPr>
        <w:t xml:space="preserve">: </w:t>
      </w:r>
      <w:hyperlink r:id="rId7" w:tooltip="http://Afinogenova_IA@szn74.ru" w:history="1">
        <w:r>
          <w:rPr>
            <w:rStyle w:val="afa"/>
            <w:rFonts w:ascii="XO Thames" w:eastAsia="XO Thames" w:hAnsi="XO Thames" w:cs="XO Thames"/>
            <w:b/>
            <w:sz w:val="26"/>
            <w:szCs w:val="26"/>
            <w:lang w:eastAsia="ru-RU"/>
          </w:rPr>
          <w:t>Afinogenova_IA@szn74.ru</w:t>
        </w:r>
      </w:hyperlink>
      <w:r>
        <w:rPr>
          <w:rFonts w:ascii="XO Thames" w:eastAsia="XO Thames" w:hAnsi="XO Thames" w:cs="XO Thames"/>
          <w:b/>
          <w:sz w:val="26"/>
          <w:szCs w:val="26"/>
          <w:lang w:eastAsia="ru-RU"/>
        </w:rPr>
        <w:t xml:space="preserve">, </w:t>
      </w:r>
      <w:hyperlink r:id="rId8" w:tooltip="mailto:Zamyatina_OM@szn74.ru." w:history="1">
        <w:r>
          <w:rPr>
            <w:rStyle w:val="afa"/>
            <w:rFonts w:ascii="XO Thames" w:eastAsia="XO Thames" w:hAnsi="XO Thames" w:cs="XO Thames"/>
            <w:b/>
            <w:sz w:val="26"/>
            <w:szCs w:val="26"/>
            <w:lang w:eastAsia="ru-RU"/>
          </w:rPr>
          <w:t>Zamyatina_OM@szn74.ru.</w:t>
        </w:r>
      </w:hyperlink>
      <w:r>
        <w:rPr>
          <w:rFonts w:ascii="XO Thames" w:eastAsia="XO Thames" w:hAnsi="XO Thames" w:cs="XO Thames"/>
          <w:b/>
          <w:sz w:val="26"/>
          <w:szCs w:val="26"/>
          <w:lang w:eastAsia="ru-RU"/>
        </w:rPr>
        <w:t xml:space="preserve"> </w:t>
      </w:r>
    </w:p>
    <w:p w:rsidR="005C4312" w:rsidRDefault="007C63EF">
      <w:pPr>
        <w:spacing w:after="0" w:line="240" w:lineRule="auto"/>
        <w:ind w:firstLine="72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</w:rPr>
        <w:t>Инструкция участника по подаче заявки на Всероссийский конкурс профессионального мастерства «Лучший по профессии» (ссылка);</w:t>
      </w:r>
    </w:p>
    <w:p w:rsidR="005C4312" w:rsidRDefault="007C63EF">
      <w:pPr>
        <w:spacing w:after="0" w:line="240" w:lineRule="auto"/>
        <w:ind w:firstLine="720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b/>
          <w:bCs/>
          <w:sz w:val="26"/>
          <w:szCs w:val="26"/>
          <w:lang w:eastAsia="ru-RU"/>
        </w:rPr>
        <w:t>Методические рекомендации по организации и проведению конкурса профессионального мастерства «Лучший по профессии» (ссылка) , размещены на официальном сайте сайте Главного управления по труду и занятости населения Челябинской области: szn.gov74.ru.</w:t>
      </w:r>
    </w:p>
    <w:p w:rsidR="005C4312" w:rsidRDefault="005C4312">
      <w:pPr>
        <w:spacing w:after="0" w:line="240" w:lineRule="auto"/>
        <w:ind w:firstLine="709"/>
        <w:jc w:val="both"/>
        <w:rPr>
          <w:rFonts w:ascii="XO Thames" w:hAnsi="XO Thames" w:cs="XO Thames"/>
          <w:b/>
          <w:bCs/>
          <w:sz w:val="26"/>
          <w:szCs w:val="26"/>
        </w:rPr>
      </w:pPr>
    </w:p>
    <w:p w:rsidR="005C4312" w:rsidRDefault="007C63EF">
      <w:pPr>
        <w:spacing w:after="0" w:line="240" w:lineRule="auto"/>
        <w:ind w:firstLine="709"/>
        <w:jc w:val="both"/>
        <w:rPr>
          <w:rFonts w:ascii="XO Thames" w:hAnsi="XO Thames" w:cs="XO Thames"/>
          <w:sz w:val="26"/>
          <w:szCs w:val="26"/>
        </w:rPr>
      </w:pPr>
      <w:r>
        <w:rPr>
          <w:rFonts w:ascii="XO Thames" w:eastAsia="XO Thames" w:hAnsi="XO Thames" w:cs="XO Thames"/>
          <w:sz w:val="26"/>
          <w:szCs w:val="26"/>
          <w:lang w:eastAsia="ru-RU"/>
        </w:rPr>
        <w:t>Полная информация о проведении Конкурса размещена на официальном сайте Главного управления (www.szn.</w:t>
      </w:r>
      <w:r>
        <w:rPr>
          <w:rFonts w:ascii="XO Thames" w:eastAsia="XO Thames" w:hAnsi="XO Thames" w:cs="XO Thames"/>
          <w:sz w:val="26"/>
          <w:szCs w:val="26"/>
          <w:lang w:val="en-US" w:eastAsia="ru-RU"/>
        </w:rPr>
        <w:t>gov</w:t>
      </w:r>
      <w:r>
        <w:rPr>
          <w:rFonts w:ascii="XO Thames" w:eastAsia="XO Thames" w:hAnsi="XO Thames" w:cs="XO Thames"/>
          <w:sz w:val="26"/>
          <w:szCs w:val="26"/>
          <w:lang w:eastAsia="ru-RU"/>
        </w:rPr>
        <w:t xml:space="preserve">74.ru) в разделе </w:t>
      </w:r>
      <w:r>
        <w:rPr>
          <w:rFonts w:ascii="XO Thames" w:eastAsia="XO Thames" w:hAnsi="XO Thames" w:cs="XO Thames"/>
          <w:b/>
          <w:sz w:val="26"/>
          <w:szCs w:val="26"/>
          <w:lang w:eastAsia="ru-RU"/>
        </w:rPr>
        <w:t>Дополнительно / Социальное партнёрство / Конкурсы / Региональный этап всероссийского конкурса в «Спецноминации для переобучившихся» (Второй старт) / 2025</w:t>
      </w:r>
      <w:r>
        <w:rPr>
          <w:rFonts w:ascii="XO Thames" w:eastAsia="XO Thames" w:hAnsi="XO Thames" w:cs="XO Thames"/>
          <w:sz w:val="26"/>
          <w:szCs w:val="26"/>
          <w:lang w:eastAsia="ru-RU"/>
        </w:rPr>
        <w:t>.</w:t>
      </w:r>
    </w:p>
    <w:p w:rsidR="005C4312" w:rsidRDefault="005C4312">
      <w:pPr>
        <w:tabs>
          <w:tab w:val="left" w:pos="2280"/>
        </w:tabs>
        <w:rPr>
          <w:sz w:val="28"/>
          <w:szCs w:val="28"/>
        </w:rPr>
      </w:pPr>
    </w:p>
    <w:p w:rsidR="005C4312" w:rsidRDefault="005C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C4312" w:rsidRDefault="005C43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5C4312">
      <w:pgSz w:w="11906" w:h="16838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B75" w:rsidRDefault="00D02B75">
      <w:pPr>
        <w:spacing w:after="0" w:line="240" w:lineRule="auto"/>
      </w:pPr>
      <w:r>
        <w:separator/>
      </w:r>
    </w:p>
  </w:endnote>
  <w:endnote w:type="continuationSeparator" w:id="0">
    <w:p w:rsidR="00D02B75" w:rsidRDefault="00D0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B75" w:rsidRDefault="00D02B75">
      <w:pPr>
        <w:spacing w:after="0" w:line="240" w:lineRule="auto"/>
      </w:pPr>
      <w:r>
        <w:separator/>
      </w:r>
    </w:p>
  </w:footnote>
  <w:footnote w:type="continuationSeparator" w:id="0">
    <w:p w:rsidR="00D02B75" w:rsidRDefault="00D02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A46B6"/>
    <w:multiLevelType w:val="hybridMultilevel"/>
    <w:tmpl w:val="FD1600F0"/>
    <w:lvl w:ilvl="0" w:tplc="535413A0">
      <w:start w:val="1"/>
      <w:numFmt w:val="decimal"/>
      <w:lvlText w:val="%1."/>
      <w:lvlJc w:val="left"/>
      <w:pPr>
        <w:ind w:left="1418" w:hanging="360"/>
      </w:pPr>
    </w:lvl>
    <w:lvl w:ilvl="1" w:tplc="526A4638">
      <w:start w:val="1"/>
      <w:numFmt w:val="lowerLetter"/>
      <w:lvlText w:val="%2."/>
      <w:lvlJc w:val="left"/>
      <w:pPr>
        <w:ind w:left="2138" w:hanging="360"/>
      </w:pPr>
    </w:lvl>
    <w:lvl w:ilvl="2" w:tplc="588A0710">
      <w:start w:val="1"/>
      <w:numFmt w:val="lowerRoman"/>
      <w:lvlText w:val="%3."/>
      <w:lvlJc w:val="right"/>
      <w:pPr>
        <w:ind w:left="2858" w:hanging="180"/>
      </w:pPr>
    </w:lvl>
    <w:lvl w:ilvl="3" w:tplc="64E4EE72">
      <w:start w:val="1"/>
      <w:numFmt w:val="decimal"/>
      <w:lvlText w:val="%4."/>
      <w:lvlJc w:val="left"/>
      <w:pPr>
        <w:ind w:left="3578" w:hanging="360"/>
      </w:pPr>
    </w:lvl>
    <w:lvl w:ilvl="4" w:tplc="26107DEE">
      <w:start w:val="1"/>
      <w:numFmt w:val="lowerLetter"/>
      <w:lvlText w:val="%5."/>
      <w:lvlJc w:val="left"/>
      <w:pPr>
        <w:ind w:left="4298" w:hanging="360"/>
      </w:pPr>
    </w:lvl>
    <w:lvl w:ilvl="5" w:tplc="A2FE61AA">
      <w:start w:val="1"/>
      <w:numFmt w:val="lowerRoman"/>
      <w:lvlText w:val="%6."/>
      <w:lvlJc w:val="right"/>
      <w:pPr>
        <w:ind w:left="5018" w:hanging="180"/>
      </w:pPr>
    </w:lvl>
    <w:lvl w:ilvl="6" w:tplc="171CEB20">
      <w:start w:val="1"/>
      <w:numFmt w:val="decimal"/>
      <w:lvlText w:val="%7."/>
      <w:lvlJc w:val="left"/>
      <w:pPr>
        <w:ind w:left="5738" w:hanging="360"/>
      </w:pPr>
    </w:lvl>
    <w:lvl w:ilvl="7" w:tplc="B99C1D30">
      <w:start w:val="1"/>
      <w:numFmt w:val="lowerLetter"/>
      <w:lvlText w:val="%8."/>
      <w:lvlJc w:val="left"/>
      <w:pPr>
        <w:ind w:left="6458" w:hanging="360"/>
      </w:pPr>
    </w:lvl>
    <w:lvl w:ilvl="8" w:tplc="177C5736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312"/>
    <w:rsid w:val="00210515"/>
    <w:rsid w:val="005C4312"/>
    <w:rsid w:val="007C63EF"/>
    <w:rsid w:val="00D0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6D99-7349-4FD2-809F-60BAE97D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yatina_OM@szn74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inogenova_IA@szn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11121</Characters>
  <Application>Microsoft Office Word</Application>
  <DocSecurity>0</DocSecurity>
  <Lines>92</Lines>
  <Paragraphs>26</Paragraphs>
  <ScaleCrop>false</ScaleCrop>
  <Company/>
  <LinksUpToDate>false</LinksUpToDate>
  <CharactersWithSpaces>13046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Маклаков</dc:creator>
  <cp:lastModifiedBy>ШМИДТ Ангелина Анатольевна</cp:lastModifiedBy>
  <cp:revision>20</cp:revision>
  <dcterms:created xsi:type="dcterms:W3CDTF">2021-12-28T12:02:00Z</dcterms:created>
  <dcterms:modified xsi:type="dcterms:W3CDTF">2025-05-20T05:03:00Z</dcterms:modified>
</cp:coreProperties>
</file>